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qu5js49n13cz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MLL/ELL Monitoring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Rule="auto"/>
        <w:rPr>
          <w:b w:val="1"/>
          <w:color w:val="444444"/>
          <w:sz w:val="32"/>
          <w:szCs w:val="32"/>
        </w:rPr>
      </w:pPr>
      <w:bookmarkStart w:colFirst="0" w:colLast="0" w:name="_i74ovkycodlt" w:id="1"/>
      <w:bookmarkEnd w:id="1"/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Monitoring Curriculum Supports, Interventions, and Compliance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Note: The Curriculum Monitoring and the ELD Compliance Sheets have been combined into a single file. Click the link below to access the file.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60" w:lineRule="auto"/>
        <w:ind w:right="160"/>
        <w:rPr>
          <w:color w:val="ffffff"/>
          <w:sz w:val="23"/>
          <w:szCs w:val="23"/>
          <w:highlight w:val="white"/>
        </w:rPr>
      </w:pPr>
      <w:hyperlink r:id="rId6">
        <w:r w:rsidDel="00000000" w:rsidR="00000000" w:rsidRPr="00000000">
          <w:rPr>
            <w:color w:val="1155cc"/>
            <w:sz w:val="23"/>
            <w:szCs w:val="23"/>
            <w:highlight w:val="white"/>
            <w:u w:val="single"/>
            <w:rtl w:val="0"/>
          </w:rPr>
          <w:t xml:space="preserve">North Schools ELD Monitoring 20-21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YAMXTHkaSphUS3vP96W4dquhj1h9jRSkzg7EARfym5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